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2D4E3" w14:textId="2F55652E" w:rsidR="00AB3E8B" w:rsidRPr="0012724F" w:rsidRDefault="00AB3E8B" w:rsidP="00AB3E8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12724F">
        <w:rPr>
          <w:rFonts w:ascii="Arial" w:hAnsi="Arial" w:cs="Arial"/>
          <w:b/>
          <w:bCs/>
        </w:rPr>
        <w:t>3GPP TSG RAN WG1 #121</w:t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  <w:t>R1-250</w:t>
      </w:r>
      <w:r w:rsidR="00875E84">
        <w:rPr>
          <w:rFonts w:ascii="Arial" w:hAnsi="Arial" w:cs="Arial"/>
          <w:b/>
          <w:bCs/>
        </w:rPr>
        <w:t>47</w:t>
      </w:r>
      <w:r w:rsidR="00B51781">
        <w:rPr>
          <w:rFonts w:ascii="Arial" w:hAnsi="Arial" w:cs="Arial"/>
          <w:b/>
          <w:bCs/>
        </w:rPr>
        <w:t>30</w:t>
      </w:r>
    </w:p>
    <w:p w14:paraId="730DBBA3" w14:textId="77777777" w:rsidR="00AB3E8B" w:rsidRDefault="00AB3E8B" w:rsidP="00AB3E8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 Julian, Malta, May 19th – 23rd, 2025</w:t>
      </w:r>
    </w:p>
    <w:p w14:paraId="10230B81" w14:textId="77777777" w:rsidR="001C19E9" w:rsidRPr="004B3304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bookmarkStart w:id="0" w:name="_Hlk198466017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9.2.2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3FDC36EA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660CF3">
        <w:rPr>
          <w:rFonts w:ascii="Arial" w:hAnsi="Arial" w:cs="Arial"/>
        </w:rPr>
        <w:t>for</w:t>
      </w:r>
      <w:r w:rsidR="0053203B" w:rsidRPr="0053203B">
        <w:rPr>
          <w:rFonts w:ascii="Arial" w:hAnsi="Arial" w:cs="Arial"/>
        </w:rPr>
        <w:t xml:space="preserve"> </w:t>
      </w:r>
      <w:r w:rsidR="00D0468A">
        <w:rPr>
          <w:rFonts w:ascii="Arial" w:hAnsi="Arial" w:cs="Arial"/>
        </w:rPr>
        <w:t>Wednesday</w:t>
      </w:r>
      <w:r w:rsidR="00AB3E8B">
        <w:rPr>
          <w:rFonts w:ascii="Arial" w:hAnsi="Arial" w:cs="Arial"/>
        </w:rPr>
        <w:t xml:space="preserve"> O</w:t>
      </w:r>
      <w:r w:rsidR="0053203B" w:rsidRPr="0053203B">
        <w:rPr>
          <w:rFonts w:ascii="Arial" w:hAnsi="Arial" w:cs="Arial"/>
        </w:rPr>
        <w:t xml:space="preserve">ffline </w:t>
      </w:r>
      <w:r w:rsidR="00AB3E8B">
        <w:rPr>
          <w:rFonts w:ascii="Arial" w:hAnsi="Arial" w:cs="Arial"/>
        </w:rPr>
        <w:t xml:space="preserve">Session </w:t>
      </w:r>
      <w:r w:rsidR="00660CF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bookmarkEnd w:id="0"/>
    <w:p w14:paraId="3837594C" w14:textId="77777777" w:rsidR="00902773" w:rsidRDefault="00902773" w:rsidP="00902773">
      <w:pPr>
        <w:pStyle w:val="Heading2"/>
        <w:tabs>
          <w:tab w:val="left" w:pos="0"/>
        </w:tabs>
      </w:pPr>
    </w:p>
    <w:p w14:paraId="28ADA593" w14:textId="170865D5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 w:rsidP="00660FAB">
      <w:pPr>
        <w:pStyle w:val="Heading2"/>
        <w:numPr>
          <w:ilvl w:val="0"/>
          <w:numId w:val="11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660FAB">
      <w:pPr>
        <w:pStyle w:val="Heading3"/>
        <w:numPr>
          <w:ilvl w:val="1"/>
          <w:numId w:val="11"/>
        </w:numPr>
      </w:pPr>
      <w:r>
        <w:t>Issue 1 (WID objective 2a and 2b): Type-I and Type-II codebook refinement for up to 128 CSI-RS ports</w:t>
      </w:r>
    </w:p>
    <w:p w14:paraId="473882D9" w14:textId="15C1AD6C" w:rsidR="003F4276" w:rsidRDefault="003F4276" w:rsidP="0053203B">
      <w:pPr>
        <w:snapToGrid w:val="0"/>
        <w:rPr>
          <w:sz w:val="20"/>
          <w:lang w:val="en-GB"/>
        </w:rPr>
      </w:pPr>
    </w:p>
    <w:p w14:paraId="4226B9E9" w14:textId="62B709E4" w:rsidR="009A4D6B" w:rsidRDefault="009A4D6B" w:rsidP="0053203B">
      <w:pPr>
        <w:snapToGrid w:val="0"/>
        <w:rPr>
          <w:sz w:val="20"/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7024"/>
        <w:gridCol w:w="2430"/>
      </w:tblGrid>
      <w:tr w:rsidR="009A4D6B" w14:paraId="3D3A2C88" w14:textId="77777777" w:rsidTr="000302C0">
        <w:trPr>
          <w:trHeight w:val="5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F914A" w14:textId="77777777" w:rsidR="009A4D6B" w:rsidRDefault="009A4D6B" w:rsidP="000302C0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1.2.3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BA71D" w14:textId="77777777" w:rsidR="009A4D6B" w:rsidRDefault="009A4D6B" w:rsidP="009A4D6B">
            <w:pPr>
              <w:snapToGrid w:val="0"/>
              <w:jc w:val="both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9A4D6B">
              <w:rPr>
                <w:rFonts w:ascii="Times" w:eastAsia="Batang" w:hAnsi="Times"/>
                <w:b/>
                <w:iCs/>
                <w:color w:val="FF0000"/>
                <w:sz w:val="20"/>
                <w:szCs w:val="20"/>
                <w:highlight w:val="green"/>
                <w:u w:val="single"/>
                <w:lang w:val="en-GB"/>
              </w:rPr>
              <w:t xml:space="preserve">Conclusion </w:t>
            </w:r>
            <w:r w:rsidRPr="009A4D6B">
              <w:rPr>
                <w:rFonts w:ascii="Times" w:eastAsia="Batang" w:hAnsi="Times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>1.B.1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: For the Rel-19 Type-I and Type-II (except for Type-II Doppler) codebook refinement for 48, 64, and 128 CSI-RS ports, when the K&gt;1 aggregated NZP aperiodic CSI-RS resources for CMR are within two consecutive slots, following the legacy spec, the </w:t>
            </w:r>
            <w:r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aperiodic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triggering offset configured with the NZP CSI-RS resource set </w:t>
            </w:r>
            <w:r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for </w:t>
            </w:r>
            <w:r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interference measurement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>is the same as</w:t>
            </w:r>
            <w:r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that of the associated NZP CSI-RS resource </w:t>
            </w:r>
            <w:r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set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for CMR.</w:t>
            </w:r>
          </w:p>
          <w:p w14:paraId="38C83BBC" w14:textId="77777777" w:rsidR="009A4D6B" w:rsidRDefault="009A4D6B" w:rsidP="000302C0">
            <w:pPr>
              <w:snapToGrid w:val="0"/>
              <w:rPr>
                <w:rFonts w:ascii="Times" w:eastAsia="Batang" w:hAnsi="Times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5603853F" w14:textId="77777777" w:rsidR="009A4D6B" w:rsidRDefault="009A4D6B" w:rsidP="000302C0">
            <w:pPr>
              <w:snapToGrid w:val="0"/>
              <w:rPr>
                <w:rFonts w:ascii="Times" w:eastAsia="Batang" w:hAnsi="Times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7A25976D" w14:textId="750B853E" w:rsidR="009A4D6B" w:rsidRPr="00115ED9" w:rsidRDefault="009A4D6B" w:rsidP="000302C0">
            <w:pPr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7257A6">
              <w:rPr>
                <w:rFonts w:ascii="Times" w:eastAsia="Batang" w:hAnsi="Times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>Conclusion 1.B.3</w:t>
            </w:r>
            <w:r w:rsidRPr="007257A6">
              <w:rPr>
                <w:rFonts w:ascii="Times" w:eastAsia="Batang" w:hAnsi="Times"/>
                <w:iCs/>
                <w:sz w:val="20"/>
                <w:szCs w:val="20"/>
                <w:highlight w:val="green"/>
                <w:lang w:val="en-GB"/>
              </w:rPr>
              <w:t>:</w:t>
            </w:r>
            <w:r w:rsidRPr="00115ED9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W</w:t>
            </w:r>
            <w:r w:rsidRPr="00115ED9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hen the X</w:t>
            </w:r>
            <w:r w:rsidRPr="001110E3">
              <w:rPr>
                <w:rFonts w:ascii="Times" w:eastAsia="Batang" w:hAnsi="Times"/>
                <w:iCs/>
                <w:color w:val="3333FF"/>
                <w:sz w:val="20"/>
                <w:szCs w:val="20"/>
                <w:lang w:val="en-GB"/>
              </w:rPr>
              <w:t>&gt;1 NZP aperiodic CSI-RS resources or resource groups</w:t>
            </w:r>
            <w:r w:rsidRPr="00115ED9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for CMR are configured, following the legacy spec, the aperiodic triggering offset configured with the NZP CSI-RS resource set for </w:t>
            </w:r>
            <w:r w:rsidRPr="00115ED9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interference measurement</w:t>
            </w:r>
            <w:r w:rsidRPr="00115ED9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is the same as that of the associated NZP CSI-RS resource set for CMR, where  </w:t>
            </w:r>
          </w:p>
          <w:p w14:paraId="0F2F1EBF" w14:textId="3CF0AEA1" w:rsidR="009A4D6B" w:rsidRPr="001110E3" w:rsidRDefault="009A4D6B" w:rsidP="009A4D6B">
            <w:pPr>
              <w:pStyle w:val="ListParagraph"/>
              <w:numPr>
                <w:ilvl w:val="0"/>
                <w:numId w:val="29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color w:val="3333FF"/>
                <w:sz w:val="20"/>
                <w:szCs w:val="20"/>
                <w:lang w:val="en-GB"/>
              </w:rPr>
            </w:pPr>
            <w:r w:rsidRPr="001110E3">
              <w:rPr>
                <w:rFonts w:ascii="Times" w:eastAsia="Batang" w:hAnsi="Times"/>
                <w:iCs/>
                <w:color w:val="3333FF"/>
                <w:sz w:val="20"/>
                <w:szCs w:val="20"/>
                <w:lang w:val="en-GB"/>
              </w:rPr>
              <w:t>X=K</w:t>
            </w:r>
            <w:r w:rsidRPr="001110E3">
              <w:rPr>
                <w:rFonts w:ascii="Times" w:eastAsia="Batang" w:hAnsi="Times"/>
                <w:iCs/>
                <w:color w:val="3333FF"/>
                <w:sz w:val="20"/>
                <w:szCs w:val="20"/>
                <w:vertAlign w:val="subscript"/>
                <w:lang w:val="en-GB"/>
              </w:rPr>
              <w:t>DOPP</w:t>
            </w:r>
            <w:r w:rsidRPr="001110E3">
              <w:rPr>
                <w:rFonts w:ascii="Times" w:eastAsia="Batang" w:hAnsi="Times"/>
                <w:iCs/>
                <w:color w:val="3333FF"/>
                <w:sz w:val="20"/>
                <w:szCs w:val="20"/>
                <w:lang w:val="en-GB"/>
              </w:rPr>
              <w:t xml:space="preserve"> for the Rel-19 Type-II Doppler codebook refinement for 48, 64, and 128 CSI-RS ports</w:t>
            </w:r>
          </w:p>
          <w:p w14:paraId="329846EC" w14:textId="77777777" w:rsidR="009A4D6B" w:rsidRDefault="009A4D6B" w:rsidP="000302C0">
            <w:pPr>
              <w:rPr>
                <w:rFonts w:eastAsia="DengXian"/>
                <w:b/>
                <w:bCs/>
                <w:sz w:val="16"/>
                <w:szCs w:val="20"/>
                <w:highlight w:val="green"/>
                <w:lang w:val="en-GB" w:eastAsia="zh-CN"/>
              </w:rPr>
            </w:pPr>
          </w:p>
          <w:p w14:paraId="16E5AA86" w14:textId="77777777" w:rsidR="009A4D6B" w:rsidRPr="00115ED9" w:rsidRDefault="009A4D6B" w:rsidP="000302C0">
            <w:pPr>
              <w:rPr>
                <w:rFonts w:eastAsia="DengXian"/>
                <w:b/>
                <w:bCs/>
                <w:sz w:val="16"/>
                <w:szCs w:val="20"/>
                <w:highlight w:val="green"/>
                <w:lang w:val="en-GB" w:eastAsia="zh-CN"/>
              </w:rPr>
            </w:pPr>
          </w:p>
          <w:p w14:paraId="03CB818B" w14:textId="77777777" w:rsidR="009A4D6B" w:rsidRDefault="009A4D6B" w:rsidP="000302C0">
            <w:pP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: This conclusion is an extension of the offline-agreed conclusion 1.B.1 for Type-II Doppler and CRI-based (HBF)</w:t>
            </w:r>
          </w:p>
          <w:p w14:paraId="31356114" w14:textId="77777777" w:rsidR="009A4D6B" w:rsidRDefault="009A4D6B" w:rsidP="000302C0">
            <w:pPr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  <w:p w14:paraId="67D9FCDA" w14:textId="77777777" w:rsidR="009A4D6B" w:rsidRDefault="009A4D6B" w:rsidP="000302C0">
            <w:pPr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627A2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10074E3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4B9F15AC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FB770EE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42F7DD6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DF1CBF1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7D4694FA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CF7AFB8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67442ED1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0C62711" w14:textId="19E25B0C" w:rsidR="009A4D6B" w:rsidRDefault="009A4D6B" w:rsidP="000302C0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Support/fine: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Samsung, Ericsson, vivo, Nokia,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Qualcomm, ETRI, CATT, </w:t>
            </w:r>
          </w:p>
          <w:p w14:paraId="3CD571EC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63802DCB" w14:textId="77777777" w:rsidR="009A4D6B" w:rsidRDefault="009A4D6B" w:rsidP="000302C0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Not support: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</w:t>
            </w:r>
          </w:p>
          <w:p w14:paraId="4769B464" w14:textId="77777777" w:rsidR="009A4D6B" w:rsidRDefault="009A4D6B" w:rsidP="000302C0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</w:tc>
      </w:tr>
    </w:tbl>
    <w:p w14:paraId="23035F66" w14:textId="77777777" w:rsidR="009A4D6B" w:rsidRPr="003F4276" w:rsidRDefault="009A4D6B" w:rsidP="0053203B">
      <w:pPr>
        <w:snapToGrid w:val="0"/>
        <w:rPr>
          <w:sz w:val="20"/>
          <w:lang w:val="en-GB"/>
        </w:rPr>
      </w:pPr>
    </w:p>
    <w:p w14:paraId="1E469B9E" w14:textId="77777777" w:rsidR="002570DB" w:rsidRPr="00862B13" w:rsidRDefault="002570DB" w:rsidP="0053203B">
      <w:pPr>
        <w:snapToGrid w:val="0"/>
        <w:rPr>
          <w:lang w:val="en-GB"/>
        </w:rPr>
      </w:pP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6748"/>
        <w:gridCol w:w="2612"/>
      </w:tblGrid>
      <w:tr w:rsidR="00BC4CC1" w14:paraId="3F3562B2" w14:textId="77777777" w:rsidTr="00800BD2">
        <w:trPr>
          <w:trHeight w:val="5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04A6C" w14:textId="77777777" w:rsidR="00BC4CC1" w:rsidRDefault="00BC4CC1" w:rsidP="00800BD2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3DCD6" w14:textId="77777777" w:rsidR="00BC4CC1" w:rsidRDefault="00BC4CC1" w:rsidP="00800BD2">
            <w:pPr>
              <w:jc w:val="both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highlight w:val="green"/>
                <w:lang w:eastAsia="zh-CN"/>
              </w:rPr>
              <w:t>[116bis] Agreement</w:t>
            </w:r>
          </w:p>
          <w:p w14:paraId="165BE226" w14:textId="77777777" w:rsidR="00BC4CC1" w:rsidRDefault="00BC4CC1" w:rsidP="00800BD2">
            <w:pPr>
              <w:snapToGrid w:val="0"/>
              <w:rPr>
                <w:rFonts w:ascii="Times" w:eastAsia="Batang" w:hAnsi="Times"/>
                <w:sz w:val="16"/>
                <w:szCs w:val="16"/>
                <w:lang w:val="en-GB"/>
              </w:rPr>
            </w:pPr>
            <w:r>
              <w:rPr>
                <w:rFonts w:ascii="Times" w:eastAsia="Batang" w:hAnsi="Times"/>
                <w:sz w:val="16"/>
                <w:szCs w:val="16"/>
                <w:lang w:val="en-GB"/>
              </w:rPr>
              <w:t xml:space="preserve">For the </w:t>
            </w:r>
            <w:r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Rel-19 Type-I and Type-II codebook refinement for </w:t>
            </w:r>
            <w:r>
              <w:rPr>
                <w:rFonts w:ascii="Times" w:eastAsia="SimSun" w:hAnsi="Times"/>
                <w:iCs/>
                <w:sz w:val="16"/>
                <w:szCs w:val="16"/>
                <w:lang w:val="en-GB"/>
              </w:rPr>
              <w:t>48, 64, and</w:t>
            </w:r>
            <w:r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 128 CSI-RS ports, regarding the </w:t>
            </w:r>
            <w:r w:rsidRPr="00530230">
              <w:rPr>
                <w:rFonts w:ascii="Times" w:eastAsia="Batang" w:hAnsi="Times"/>
                <w:iCs/>
                <w:sz w:val="20"/>
                <w:szCs w:val="16"/>
                <w:highlight w:val="yellow"/>
                <w:lang w:val="en-GB"/>
              </w:rPr>
              <w:t>m</w:t>
            </w:r>
            <w:r w:rsidRPr="00530230">
              <w:rPr>
                <w:rFonts w:ascii="Times" w:eastAsia="Batang" w:hAnsi="Times"/>
                <w:iCs/>
                <w:sz w:val="20"/>
                <w:szCs w:val="16"/>
                <w:highlight w:val="yellow"/>
                <w:lang w:val="en-GB" w:eastAsia="zh-CN"/>
              </w:rPr>
              <w:t>apping from CSI-RS resource index/port index per resource and port index to CSI/PMI calculation</w:t>
            </w:r>
            <w:r w:rsidRPr="00530230">
              <w:rPr>
                <w:rFonts w:ascii="Times" w:eastAsia="Batang" w:hAnsi="Times"/>
                <w:iCs/>
                <w:sz w:val="20"/>
                <w:szCs w:val="16"/>
                <w:lang w:val="en-GB" w:eastAsia="zh-CN"/>
              </w:rPr>
              <w:t>,</w:t>
            </w:r>
            <w:r>
              <w:rPr>
                <w:rFonts w:ascii="Times" w:eastAsia="Batang" w:hAnsi="Times"/>
                <w:iCs/>
                <w:sz w:val="16"/>
                <w:szCs w:val="16"/>
                <w:lang w:val="en-GB" w:eastAsia="zh-CN"/>
              </w:rPr>
              <w:t xml:space="preserve"> 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support NW to configure UE with one of the following mapping methods via higher-layer (RRC) </w:t>
            </w:r>
            <w:proofErr w:type="spellStart"/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>signaling</w:t>
            </w:r>
            <w:proofErr w:type="spellEnd"/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, </w:t>
            </w:r>
          </w:p>
          <w:p w14:paraId="5DFF8E90" w14:textId="77777777" w:rsidR="00BC4CC1" w:rsidRDefault="00BC4CC1" w:rsidP="00BC4CC1">
            <w:pPr>
              <w:numPr>
                <w:ilvl w:val="0"/>
                <w:numId w:val="26"/>
              </w:numPr>
              <w:snapToGrid w:val="0"/>
              <w:rPr>
                <w:rFonts w:ascii="Times" w:eastAsia="Malgun Gothic" w:hAnsi="Times"/>
                <w:sz w:val="16"/>
                <w:lang w:val="en-GB"/>
              </w:rPr>
            </w:pPr>
            <w:r>
              <w:rPr>
                <w:rFonts w:ascii="Times" w:eastAsia="Malgun Gothic" w:hAnsi="Times"/>
                <w:i/>
                <w:sz w:val="16"/>
                <w:szCs w:val="16"/>
                <w:lang w:val="en-GB" w:eastAsia="zh-CN"/>
              </w:rPr>
              <w:t>Mapping method 1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>: Sequential ordering/indexing within (1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st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resource, 1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st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polarization), then (2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nd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resource, 1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st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polarization), …, then (K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th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resource, 1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st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polarization), then (1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st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resource, 2</w:t>
            </w:r>
            <w:r>
              <w:rPr>
                <w:rFonts w:ascii="Times" w:eastAsia="Malgun Gothic" w:hAnsi="Times"/>
                <w:sz w:val="16"/>
                <w:szCs w:val="16"/>
                <w:vertAlign w:val="superscript"/>
                <w:lang w:val="en-GB" w:eastAsia="zh-CN"/>
              </w:rPr>
              <w:t>nd</w:t>
            </w:r>
            <w:r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 xml:space="preserve"> polarization), then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 xml:space="preserve"> (2</w:t>
            </w:r>
            <w:r>
              <w:rPr>
                <w:rFonts w:ascii="Times" w:eastAsia="Malgun Gothic" w:hAnsi="Times"/>
                <w:sz w:val="16"/>
                <w:vertAlign w:val="superscript"/>
                <w:lang w:val="en-GB" w:eastAsia="zh-CN"/>
              </w:rPr>
              <w:t>nd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 xml:space="preserve"> resource, 2</w:t>
            </w:r>
            <w:r>
              <w:rPr>
                <w:rFonts w:ascii="Times" w:eastAsia="Malgun Gothic" w:hAnsi="Times"/>
                <w:sz w:val="16"/>
                <w:vertAlign w:val="superscript"/>
                <w:lang w:val="en-GB" w:eastAsia="zh-CN"/>
              </w:rPr>
              <w:t>nd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 xml:space="preserve"> polarization), …, then (K</w:t>
            </w:r>
            <w:r>
              <w:rPr>
                <w:rFonts w:ascii="Times" w:eastAsia="Malgun Gothic" w:hAnsi="Times"/>
                <w:sz w:val="16"/>
                <w:vertAlign w:val="superscript"/>
                <w:lang w:val="en-GB" w:eastAsia="zh-CN"/>
              </w:rPr>
              <w:t>th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 xml:space="preserve"> resource, 2</w:t>
            </w:r>
            <w:r>
              <w:rPr>
                <w:rFonts w:ascii="Times" w:eastAsia="Malgun Gothic" w:hAnsi="Times"/>
                <w:sz w:val="16"/>
                <w:vertAlign w:val="superscript"/>
                <w:lang w:val="en-GB" w:eastAsia="zh-CN"/>
              </w:rPr>
              <w:t>nd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 xml:space="preserve"> polarization)  </w:t>
            </w:r>
          </w:p>
          <w:p w14:paraId="300D2472" w14:textId="77777777" w:rsidR="00BC4CC1" w:rsidRDefault="00BC4CC1" w:rsidP="00BC4CC1">
            <w:pPr>
              <w:numPr>
                <w:ilvl w:val="0"/>
                <w:numId w:val="26"/>
              </w:numPr>
              <w:snapToGrid w:val="0"/>
              <w:rPr>
                <w:rFonts w:ascii="Times" w:eastAsia="Malgun Gothic" w:hAnsi="Times"/>
                <w:sz w:val="16"/>
                <w:lang w:val="en-GB"/>
              </w:rPr>
            </w:pPr>
            <w:r>
              <w:rPr>
                <w:rFonts w:ascii="Times" w:eastAsia="Malgun Gothic" w:hAnsi="Times"/>
                <w:i/>
                <w:sz w:val="16"/>
                <w:lang w:val="en-GB"/>
              </w:rPr>
              <w:t>Mapping method 2</w:t>
            </w:r>
            <w:r>
              <w:rPr>
                <w:rFonts w:ascii="Times" w:eastAsia="Malgun Gothic" w:hAnsi="Times"/>
                <w:sz w:val="16"/>
                <w:lang w:val="en-GB"/>
              </w:rPr>
              <w:t xml:space="preserve">: 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>Sequential ordering/indexing within (</w:t>
            </w:r>
            <w:r>
              <w:rPr>
                <w:rFonts w:ascii="Times" w:eastAsia="DengXian" w:hAnsi="Times" w:hint="eastAsia"/>
                <w:sz w:val="16"/>
                <w:lang w:val="en-GB" w:eastAsia="zh-CN"/>
              </w:rPr>
              <w:t>w</w:t>
            </w:r>
            <w:r>
              <w:rPr>
                <w:rFonts w:ascii="Times" w:eastAsia="DengXian" w:hAnsi="Times"/>
                <w:sz w:val="16"/>
                <w:lang w:val="en-GB" w:eastAsia="zh-CN"/>
              </w:rPr>
              <w:t>here K*n2 = N2</w:t>
            </w:r>
            <w:r>
              <w:rPr>
                <w:rFonts w:ascii="Times" w:eastAsia="Malgun Gothic" w:hAnsi="Times"/>
                <w:sz w:val="16"/>
                <w:lang w:val="en-GB" w:eastAsia="zh-CN"/>
              </w:rPr>
              <w:t>):</w:t>
            </w:r>
          </w:p>
          <w:p w14:paraId="033C061B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sz w:val="16"/>
                <w:szCs w:val="20"/>
                <w:u w:val="single"/>
                <w:lang w:val="en-GB"/>
              </w:rPr>
            </w:pPr>
          </w:p>
          <w:p w14:paraId="30C2E15F" w14:textId="77777777" w:rsidR="00BC4CC1" w:rsidRDefault="00BC4CC1" w:rsidP="00800BD2">
            <w:pPr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[117] Agreement</w:t>
            </w:r>
          </w:p>
          <w:p w14:paraId="3F4CCFC2" w14:textId="77777777" w:rsidR="00BC4CC1" w:rsidRDefault="00BC4CC1" w:rsidP="00800BD2">
            <w:pPr>
              <w:widowControl w:val="0"/>
              <w:snapToGrid w:val="0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>
              <w:rPr>
                <w:rFonts w:ascii="Times" w:eastAsia="Batang" w:hAnsi="Times"/>
                <w:sz w:val="16"/>
                <w:szCs w:val="20"/>
                <w:lang w:val="en-GB"/>
              </w:rPr>
              <w:lastRenderedPageBreak/>
              <w:t xml:space="preserve">For the 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Rel-19 Type-I and Type-II codebook refinement for </w:t>
            </w:r>
            <w:r>
              <w:rPr>
                <w:rFonts w:ascii="Times" w:eastAsia="SimSun" w:hAnsi="Times"/>
                <w:iCs/>
                <w:sz w:val="16"/>
                <w:szCs w:val="20"/>
                <w:lang w:val="en-GB"/>
              </w:rPr>
              <w:t>48, 64, and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 128 CSI-RS ports, regarding port mapping, </w:t>
            </w:r>
          </w:p>
          <w:p w14:paraId="00CB1295" w14:textId="77777777" w:rsidR="00BC4CC1" w:rsidRDefault="00BC4CC1" w:rsidP="00BC4CC1">
            <w:pPr>
              <w:widowControl w:val="0"/>
              <w:numPr>
                <w:ilvl w:val="0"/>
                <w:numId w:val="2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>Following legacy principle, “sequential ordering/indexing within” a group of Q indices {i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0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>, 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>, …, 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Q-1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} is a linearly increasing sequence such that </w:t>
            </w:r>
            <w:proofErr w:type="spellStart"/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>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q</w:t>
            </w:r>
            <w:proofErr w:type="spellEnd"/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 &lt; 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q+1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 (where q=0, 1, …, Q-2 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>is the port index within a CSI-RS resource,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 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 xml:space="preserve">and </w:t>
            </w:r>
            <w:proofErr w:type="spellStart"/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>i</w:t>
            </w:r>
            <w:r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zh-CN"/>
              </w:rPr>
              <w:t>q</w:t>
            </w:r>
            <w:proofErr w:type="spellEnd"/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 xml:space="preserve"> or i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vertAlign w:val="subscript"/>
                <w:lang w:val="en-GB" w:eastAsia="zh-CN"/>
              </w:rPr>
              <w:t>q+1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sz w:val="16"/>
                  <w:szCs w:val="20"/>
                  <w:lang w:val="en-GB" w:eastAsia="zh-CN"/>
                </w:rPr>
                <m:t>∈</m:t>
              </m:r>
            </m:oMath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 xml:space="preserve"> {0,</w:t>
            </w:r>
            <w:r>
              <w:rPr>
                <w:rFonts w:ascii="Times" w:eastAsia="Malgun Gothic" w:hAnsi="Times"/>
                <w:iCs/>
                <w:sz w:val="16"/>
                <w:szCs w:val="20"/>
                <w:lang w:val="en-GB" w:eastAsia="zh-CN"/>
              </w:rPr>
              <w:t xml:space="preserve"> 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>1,</w:t>
            </w:r>
            <w:r>
              <w:rPr>
                <w:rFonts w:ascii="Times" w:eastAsia="Malgun Gothic" w:hAnsi="Times"/>
                <w:iCs/>
                <w:sz w:val="16"/>
                <w:szCs w:val="20"/>
                <w:lang w:val="en-GB" w:eastAsia="zh-CN"/>
              </w:rPr>
              <w:t>…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>,</w:t>
            </w:r>
            <w:r>
              <w:rPr>
                <w:rFonts w:ascii="Times" w:eastAsia="Malgun Gothic" w:hAnsi="Times"/>
                <w:iCs/>
                <w:sz w:val="16"/>
                <w:szCs w:val="20"/>
                <w:lang w:val="en-GB" w:eastAsia="zh-CN"/>
              </w:rPr>
              <w:t xml:space="preserve"> </w:t>
            </w:r>
            <w:r>
              <w:rPr>
                <w:rFonts w:ascii="Times" w:eastAsia="Malgun Gothic" w:hAnsi="Times" w:hint="eastAsia"/>
                <w:iCs/>
                <w:sz w:val="16"/>
                <w:szCs w:val="20"/>
                <w:lang w:val="en-GB" w:eastAsia="zh-CN"/>
              </w:rPr>
              <w:t>KQ-1}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) is </w:t>
            </w:r>
            <w:r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zh-CN"/>
              </w:rPr>
              <w:t>the port index for the codebook,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 w:eastAsia="zh-CN"/>
              </w:rPr>
              <w:t xml:space="preserve"> across the K&gt;1 CSI-RS resources).</w:t>
            </w:r>
          </w:p>
          <w:p w14:paraId="09948E16" w14:textId="77777777" w:rsidR="00BC4CC1" w:rsidRDefault="00BC4CC1" w:rsidP="00BC4CC1">
            <w:pPr>
              <w:widowControl w:val="0"/>
              <w:numPr>
                <w:ilvl w:val="0"/>
                <w:numId w:val="2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zh-CN"/>
              </w:rPr>
            </w:pPr>
            <w:r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zh-CN"/>
              </w:rPr>
              <w:t>After resource aggregation, P (=48, 64, or 128) ports are numbered in accordance to Table 7.4.1.5.3-1 from TS 38.211</w:t>
            </w:r>
          </w:p>
          <w:p w14:paraId="231B9F10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75B1E936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454CAE3F" w14:textId="77777777" w:rsidR="00BC4CC1" w:rsidRDefault="00BC4CC1" w:rsidP="00800BD2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  <w:t>Proposal 1.A</w:t>
            </w:r>
            <w:r>
              <w:rPr>
                <w:rFonts w:eastAsia="Batang"/>
                <w:b/>
                <w:i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For the Rel-19 Type-I SP and Type-II codebook refinement for </w:t>
            </w:r>
            <w:r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P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=48, 64, and 128 CSI-RS ports</w:t>
            </w:r>
            <w:r>
              <w:rPr>
                <w:rFonts w:ascii="Times" w:eastAsia="Malgun Gothic" w:hAnsi="Times"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with K&gt;1 aggregated NZP aperiodic CSI-RS resources for CMR, to implement the previous agreements on the mapping from CSI-RS resource index/port index per resource and port index to CSI/PMI calculation:</w:t>
            </w:r>
          </w:p>
          <w:p w14:paraId="29C57F3B" w14:textId="77777777" w:rsidR="00BC4CC1" w:rsidRDefault="00BC4CC1" w:rsidP="00BC4CC1">
            <w:pPr>
              <w:pStyle w:val="ListParagraph"/>
              <w:widowControl w:val="0"/>
              <w:numPr>
                <w:ilvl w:val="0"/>
                <w:numId w:val="28"/>
              </w:numPr>
              <w:snapToGrid w:val="0"/>
              <w:spacing w:after="0" w:line="240" w:lineRule="auto"/>
              <w:rPr>
                <w:rFonts w:ascii="Times" w:eastAsia="Malgun Gothic" w:hAnsi="Times" w:cs="Calibri"/>
                <w:sz w:val="20"/>
                <w:szCs w:val="20"/>
                <w:lang w:val="en-GB"/>
              </w:rPr>
            </w:pPr>
            <w:r>
              <w:rPr>
                <w:rFonts w:ascii="Times" w:eastAsia="Malgun Gothic" w:hAnsi="Times" w:cs="Calibri"/>
                <w:sz w:val="20"/>
                <w:szCs w:val="20"/>
                <w:lang w:val="en-GB"/>
              </w:rPr>
              <w:t xml:space="preserve">In TS38.211, extend the enumeration of antenna port </w:t>
            </w:r>
            <w:r>
              <w:rPr>
                <w:rFonts w:ascii="Times" w:eastAsia="Malgun Gothic" w:hAnsi="Times" w:cs="Calibri"/>
                <w:i/>
                <w:sz w:val="20"/>
                <w:szCs w:val="20"/>
                <w:lang w:val="en-GB"/>
              </w:rPr>
              <w:t>p</w:t>
            </w:r>
            <w:r>
              <w:rPr>
                <w:rFonts w:ascii="Times" w:eastAsia="Malgun Gothic" w:hAnsi="Times" w:cs="Calibri"/>
                <w:sz w:val="20"/>
                <w:szCs w:val="20"/>
                <w:lang w:val="en-GB"/>
              </w:rPr>
              <w:t xml:space="preserve"> to 3000+</w:t>
            </w:r>
            <w:r>
              <w:rPr>
                <w:rFonts w:ascii="Times" w:eastAsia="Malgun Gothic" w:hAnsi="Times" w:cs="Calibri"/>
                <w:i/>
                <w:sz w:val="20"/>
                <w:szCs w:val="20"/>
                <w:lang w:val="en-GB"/>
              </w:rPr>
              <w:t>P–</w:t>
            </w:r>
            <w:r>
              <w:rPr>
                <w:rFonts w:ascii="Times" w:eastAsia="Malgun Gothic" w:hAnsi="Times" w:cs="Calibri"/>
                <w:sz w:val="20"/>
                <w:szCs w:val="20"/>
                <w:lang w:val="en-GB"/>
              </w:rPr>
              <w:t>1, and directly specify the mapping relationship from CSI-RS sequences in each CDM group of each aggregated CSI-RS resources to antenna ports.</w:t>
            </w:r>
          </w:p>
          <w:p w14:paraId="18AEB3D5" w14:textId="77777777" w:rsidR="00BC4CC1" w:rsidRDefault="00BC4CC1" w:rsidP="00BC4CC1">
            <w:pPr>
              <w:pStyle w:val="ListParagraph"/>
              <w:widowControl w:val="0"/>
              <w:numPr>
                <w:ilvl w:val="0"/>
                <w:numId w:val="28"/>
              </w:numPr>
              <w:snapToGrid w:val="0"/>
              <w:spacing w:after="0" w:line="240" w:lineRule="auto"/>
              <w:rPr>
                <w:rFonts w:ascii="Times" w:eastAsia="Malgun Gothic" w:hAnsi="Times" w:cs="Calibri"/>
                <w:sz w:val="20"/>
                <w:szCs w:val="20"/>
                <w:lang w:val="en-GB"/>
              </w:rPr>
            </w:pPr>
            <w:r>
              <w:rPr>
                <w:rFonts w:ascii="Times" w:eastAsia="Malgun Gothic" w:hAnsi="Times" w:cs="Calibri"/>
                <w:sz w:val="20"/>
                <w:szCs w:val="20"/>
                <w:lang w:val="en-GB"/>
              </w:rPr>
              <w:t>In TS38.214, remove the term ‘port index for CSI/PMI calculation’</w:t>
            </w:r>
          </w:p>
          <w:p w14:paraId="0135AB1B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</w:p>
          <w:p w14:paraId="02F1CB2F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</w:p>
          <w:p w14:paraId="110C692D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: The above proposal attempts to amend the implementation of the previous agreements in the current editor CRs (for 38.211 and 38.214). An example TP is given in [6]. This proposal will admittedly result in a clearer specification. But it can also be argued that the implementation in the current editor CRs correctly may already capture the agreements. </w:t>
            </w:r>
          </w:p>
          <w:p w14:paraId="38F4BA70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1FA12D7C" w14:textId="77777777" w:rsidR="00186F4B" w:rsidRPr="0033650B" w:rsidRDefault="00186F4B" w:rsidP="00186F4B">
            <w:pPr>
              <w:widowControl w:val="0"/>
              <w:snapToGrid w:val="0"/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</w:pPr>
            <w:r w:rsidRPr="0033650B"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>Arguments from Nokia/vivo from Monday online:</w:t>
            </w:r>
          </w:p>
          <w:p w14:paraId="055ABCE0" w14:textId="77777777" w:rsidR="00186F4B" w:rsidRPr="0033650B" w:rsidRDefault="00186F4B" w:rsidP="00186F4B">
            <w:pPr>
              <w:pStyle w:val="ListParagraph"/>
              <w:widowControl w:val="0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</w:pPr>
            <w:r w:rsidRPr="0033650B"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>Following Rel-13/14 LTE (using resource aggregation) on adding new port numbers vs. exceptions in NR with Rel-19 Type-I MP and Rel-18 Type-II CJT (without resource aggregation) where new port numbers are not added</w:t>
            </w:r>
          </w:p>
          <w:p w14:paraId="050C9427" w14:textId="77777777" w:rsidR="00186F4B" w:rsidRPr="0033650B" w:rsidRDefault="00186F4B" w:rsidP="00186F4B">
            <w:pPr>
              <w:pStyle w:val="ListParagraph"/>
              <w:widowControl w:val="0"/>
              <w:numPr>
                <w:ilvl w:val="1"/>
                <w:numId w:val="31"/>
              </w:numPr>
              <w:snapToGrid w:val="0"/>
              <w:spacing w:after="0" w:line="240" w:lineRule="auto"/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</w:pPr>
            <w:r w:rsidRPr="0033650B"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>Argument hinges on 38.211 capturing new CSI-RS port numbers vs 38.214 capturing CSI calculation equation in 38.214 using ‘port index for CSP/PMI calculation’ assuming PDSCH</w:t>
            </w:r>
          </w:p>
          <w:p w14:paraId="4E9C472D" w14:textId="68EFC990" w:rsidR="00186F4B" w:rsidRDefault="00186F4B" w:rsidP="00186F4B">
            <w:pPr>
              <w:pStyle w:val="ListParagraph"/>
              <w:widowControl w:val="0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</w:pPr>
            <w:r w:rsidRPr="0033650B"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>Additional spec editor works resulting from proposal 1.A</w:t>
            </w:r>
            <w:r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 xml:space="preserve"> vs the current text available in latest version of 38.211/214 CRs</w:t>
            </w:r>
          </w:p>
          <w:p w14:paraId="52147A45" w14:textId="382B63F3" w:rsidR="00DB441C" w:rsidRPr="0033650B" w:rsidRDefault="00DB441C" w:rsidP="00B214D1">
            <w:pPr>
              <w:pStyle w:val="ListParagraph"/>
              <w:widowControl w:val="0"/>
              <w:numPr>
                <w:ilvl w:val="1"/>
                <w:numId w:val="31"/>
              </w:numPr>
              <w:snapToGrid w:val="0"/>
              <w:spacing w:after="0" w:line="240" w:lineRule="auto"/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 xml:space="preserve">How to capture an agreement on the use of SD NES Type-1 </w:t>
            </w:r>
            <w:proofErr w:type="spellStart"/>
            <w:r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>fallback</w:t>
            </w:r>
            <w:proofErr w:type="spellEnd"/>
            <w:r>
              <w:rPr>
                <w:rFonts w:eastAsia="Batang"/>
                <w:b/>
                <w:iCs/>
                <w:color w:val="FF0000"/>
                <w:sz w:val="20"/>
                <w:szCs w:val="20"/>
                <w:lang w:val="en-GB"/>
              </w:rPr>
              <w:t xml:space="preserve"> to &lt;=32 ports</w:t>
            </w:r>
          </w:p>
          <w:p w14:paraId="242B8A93" w14:textId="5CBC256D" w:rsidR="00186F4B" w:rsidRDefault="00186F4B" w:rsidP="00800BD2">
            <w:pPr>
              <w:widowControl w:val="0"/>
              <w:snapToGrid w:val="0"/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DC78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1F69A62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316D02D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0D3D0AD1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79D4BDCD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7182656B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279B521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0226853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1AD03FE2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422F727B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147BE1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8533C7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1C42594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866A772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53286EC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0E6EE2A8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4EF9EF1E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6557328E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D3B5790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489B1152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7FF440BD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Support/fine: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ZTE,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Sanechips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Google, NTT DOCOMO, Samsung, MediaTek,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Spreadtrum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, HONOR, OPPO, CATT, CMCC, Xiaomi, Apple, NEC, Qualcomm, Sharp, ETRI, Fujitsu, Huawei/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HiSi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Rakuten, Ericsson,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Tejas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(ok),  </w:t>
            </w:r>
          </w:p>
          <w:p w14:paraId="58649D93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6FE079D" w14:textId="2E828934" w:rsidR="00BC4CC1" w:rsidRDefault="00BC4CC1" w:rsidP="00800BD2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Not support: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Nokia, vivo, </w:t>
            </w:r>
          </w:p>
          <w:p w14:paraId="7A76EB7F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</w:tc>
      </w:tr>
    </w:tbl>
    <w:p w14:paraId="0B019FA9" w14:textId="4280565C" w:rsidR="0053203B" w:rsidRDefault="0053203B" w:rsidP="0053203B">
      <w:pPr>
        <w:snapToGrid w:val="0"/>
        <w:rPr>
          <w:lang w:val="en-GB"/>
        </w:rPr>
      </w:pPr>
      <w:bookmarkStart w:id="3" w:name="_GoBack"/>
      <w:bookmarkEnd w:id="3"/>
    </w:p>
    <w:p w14:paraId="507DD738" w14:textId="4DB4BAA3" w:rsidR="00B214D1" w:rsidRPr="00B214D1" w:rsidRDefault="00B214D1" w:rsidP="0053203B">
      <w:pPr>
        <w:snapToGrid w:val="0"/>
        <w:rPr>
          <w:b/>
          <w:u w:val="single"/>
          <w:lang w:val="en-GB"/>
        </w:rPr>
      </w:pPr>
      <w:r w:rsidRPr="00B214D1">
        <w:rPr>
          <w:b/>
          <w:u w:val="single"/>
          <w:lang w:val="en-GB"/>
        </w:rPr>
        <w:t>Discussion</w:t>
      </w:r>
    </w:p>
    <w:p w14:paraId="2968CB45" w14:textId="77777777" w:rsidR="00B214D1" w:rsidRDefault="00B214D1" w:rsidP="0053203B">
      <w:pPr>
        <w:snapToGrid w:val="0"/>
        <w:rPr>
          <w:lang w:val="en-GB"/>
        </w:rPr>
      </w:pPr>
    </w:p>
    <w:tbl>
      <w:tblPr>
        <w:tblW w:w="10040" w:type="dxa"/>
        <w:tblInd w:w="-5" w:type="dxa"/>
        <w:tblLook w:val="04A0" w:firstRow="1" w:lastRow="0" w:firstColumn="1" w:lastColumn="0" w:noHBand="0" w:noVBand="1"/>
      </w:tblPr>
      <w:tblGrid>
        <w:gridCol w:w="1062"/>
        <w:gridCol w:w="8978"/>
      </w:tblGrid>
      <w:tr w:rsidR="00186F4B" w:rsidRPr="009179AF" w14:paraId="68073445" w14:textId="77777777" w:rsidTr="000302C0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7AA0" w14:textId="77777777" w:rsidR="00186F4B" w:rsidRDefault="00186F4B" w:rsidP="00186F4B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0B10" w14:textId="77777777" w:rsidR="00186F4B" w:rsidRPr="00241F52" w:rsidRDefault="00186F4B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b/>
                <w:bCs/>
                <w:iCs/>
                <w:sz w:val="20"/>
                <w:szCs w:val="20"/>
                <w:u w:val="single"/>
                <w:lang w:val="en-GB" w:eastAsia="zh-CN"/>
              </w:rPr>
            </w:pPr>
            <w:r w:rsidRPr="00241F52">
              <w:rPr>
                <w:rFonts w:eastAsiaTheme="minorEastAsia"/>
                <w:b/>
                <w:bCs/>
                <w:iCs/>
                <w:sz w:val="20"/>
                <w:szCs w:val="20"/>
                <w:u w:val="single"/>
                <w:lang w:val="en-GB" w:eastAsia="zh-CN"/>
              </w:rPr>
              <w:t>Proposal 1.A:</w:t>
            </w:r>
          </w:p>
          <w:p w14:paraId="632A54D4" w14:textId="77777777" w:rsidR="00186F4B" w:rsidRPr="00241F52" w:rsidRDefault="00186F4B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Regarding argument 1, in our understanding port index extension was not agreed for Rel-19 Type-I MP and hence we had the conclusion in last meeting that port index extension is not needed for the case of Rel-19 Type-I MP.  Even in the current draft of 38.214, the newly introduced ‘Port index for CSI/PMI calculation’ is not used for the Rel-19 Type-I MP codebook.  Hence, the choice between extending CSI-RS ports up to 3127 vs using the newly introduced ‘Port index for CSI/PMI calculation’ should not impact Rel-19 Type-I MP.</w:t>
            </w:r>
          </w:p>
          <w:p w14:paraId="6A053822" w14:textId="65FDD378" w:rsidR="00186F4B" w:rsidRPr="00241F52" w:rsidRDefault="00186F4B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</w:p>
          <w:p w14:paraId="55A69B74" w14:textId="76AB3B50" w:rsidR="007257A6" w:rsidRPr="00241F52" w:rsidRDefault="007257A6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[vivo/Nokia]</w:t>
            </w:r>
          </w:p>
          <w:p w14:paraId="220F696B" w14:textId="0E645280" w:rsidR="007257A6" w:rsidRPr="00241F52" w:rsidRDefault="00530230" w:rsidP="00241F52">
            <w:pPr>
              <w:pStyle w:val="ListParagraph"/>
              <w:numPr>
                <w:ilvl w:val="0"/>
                <w:numId w:val="33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Not true that ports from different aggregated resources are mapped to the same (physical) ports</w:t>
            </w:r>
          </w:p>
          <w:p w14:paraId="39BDA3A9" w14:textId="34292693" w:rsidR="00530230" w:rsidRPr="00241F52" w:rsidRDefault="00530230" w:rsidP="00241F52">
            <w:pPr>
              <w:pStyle w:val="ListParagraph"/>
              <w:numPr>
                <w:ilvl w:val="0"/>
                <w:numId w:val="33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P</w:t>
            </w:r>
            <w:proofErr w:type="gramStart"/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1.A</w:t>
            </w:r>
            <w:proofErr w:type="gramEnd"/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 is stylistic enhancement over the current versions in 211 and 214</w:t>
            </w:r>
          </w:p>
          <w:p w14:paraId="304F1C4F" w14:textId="1B2F0F1F" w:rsidR="007257A6" w:rsidRPr="00241F52" w:rsidRDefault="007257A6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</w:p>
          <w:p w14:paraId="65475880" w14:textId="73E4CD95" w:rsidR="00186F4B" w:rsidRPr="00241F52" w:rsidRDefault="00186F4B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Regarding addition spec work if proposal 1.A is agreed, we see the following </w:t>
            </w:r>
            <w:r w:rsidR="009D6C3D" w:rsidRPr="00241F52">
              <w:rPr>
                <w:rFonts w:eastAsiaTheme="minorEastAsia"/>
                <w:iCs/>
                <w:sz w:val="20"/>
                <w:szCs w:val="20"/>
                <w:u w:val="single"/>
                <w:lang w:val="en-GB" w:eastAsia="zh-CN"/>
              </w:rPr>
              <w:t>main</w:t>
            </w:r>
            <w:r w:rsidR="009D6C3D"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 </w:t>
            </w:r>
            <w:r w:rsidRPr="00241F52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changes:</w:t>
            </w:r>
          </w:p>
          <w:p w14:paraId="7D1B12C5" w14:textId="77777777" w:rsidR="00186F4B" w:rsidRPr="00241F52" w:rsidRDefault="00186F4B" w:rsidP="00241F52">
            <w:pPr>
              <w:pStyle w:val="ListParagraph"/>
              <w:numPr>
                <w:ilvl w:val="0"/>
                <w:numId w:val="30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Reintroduce CSI-RS port indexing extending up to 3127 in 38.211 (which was there in the endorsed version of 38.211 after Athens)</w:t>
            </w:r>
          </w:p>
          <w:p w14:paraId="12ABFB77" w14:textId="77777777" w:rsidR="00186F4B" w:rsidRPr="00241F52" w:rsidRDefault="00186F4B" w:rsidP="00241F52">
            <w:pPr>
              <w:pStyle w:val="ListParagraph"/>
              <w:numPr>
                <w:ilvl w:val="0"/>
                <w:numId w:val="30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Replace ‘port index for CSI/PMI calculation’ with CSI-RS port index in 38.214</w:t>
            </w:r>
          </w:p>
          <w:p w14:paraId="6ADACD49" w14:textId="77777777" w:rsidR="00186F4B" w:rsidRPr="00241F52" w:rsidRDefault="00186F4B" w:rsidP="00241F52">
            <w:pPr>
              <w:pStyle w:val="ListParagraph"/>
              <w:numPr>
                <w:ilvl w:val="0"/>
                <w:numId w:val="30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lastRenderedPageBreak/>
              <w:t xml:space="preserve">Removal of new paragraph added in Section 5.2.2.5.1 of 38.214 for UE assumption for CQI/PMI/RI calculation for </w:t>
            </w:r>
            <w:proofErr w:type="spellStart"/>
            <w:r w:rsidRPr="00241F52">
              <w:rPr>
                <w:i/>
                <w:sz w:val="20"/>
                <w:szCs w:val="20"/>
              </w:rPr>
              <w:t>codebookType</w:t>
            </w:r>
            <w:proofErr w:type="spellEnd"/>
            <w:r w:rsidRPr="00241F52">
              <w:rPr>
                <w:sz w:val="20"/>
                <w:szCs w:val="20"/>
              </w:rPr>
              <w:t xml:space="preserve"> set to 'typeI-SinglePanel-r19', 'eTypeII-r19', 'typeII-FePortSelection-r19' or 'typeII-Doppler-r19'.</w:t>
            </w:r>
          </w:p>
          <w:p w14:paraId="6702472E" w14:textId="77777777" w:rsidR="00186F4B" w:rsidRPr="00241F52" w:rsidRDefault="00186F4B" w:rsidP="00241F52">
            <w:pPr>
              <w:pStyle w:val="ListParagraph"/>
              <w:numPr>
                <w:ilvl w:val="0"/>
                <w:numId w:val="30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/>
              </w:rPr>
              <w:t>Reuse legacy paragraph for UE assumption for CQI/PMI/RI calculation for 48, 64, and 128 ports in 38.214.</w:t>
            </w:r>
          </w:p>
          <w:p w14:paraId="1350BD06" w14:textId="77777777" w:rsidR="00186F4B" w:rsidRPr="00241F52" w:rsidRDefault="00186F4B" w:rsidP="00241F52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</w:p>
          <w:p w14:paraId="3ECDC0C7" w14:textId="1F40F154" w:rsidR="009D6C3D" w:rsidRPr="00241F52" w:rsidRDefault="009D6C3D" w:rsidP="00241F52">
            <w:pPr>
              <w:tabs>
                <w:tab w:val="left" w:pos="29"/>
                <w:tab w:val="left" w:pos="1440"/>
              </w:tabs>
              <w:snapToGrid w:val="0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[Nokia]</w:t>
            </w:r>
          </w:p>
          <w:p w14:paraId="1976E621" w14:textId="179DD5EF" w:rsidR="009D6C3D" w:rsidRPr="00241F52" w:rsidRDefault="009D6C3D" w:rsidP="00241F52">
            <w:pPr>
              <w:pStyle w:val="ListParagraph"/>
              <w:numPr>
                <w:ilvl w:val="0"/>
                <w:numId w:val="34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 xml:space="preserve">The list is not exhaustive (also agreed by Ericsson). IN addition, more agreements are needed if proposal 1.A is agreed. Example: SD NES Type-1, upon fallback to &lt;=32 ports, port numbering within a </w:t>
            </w:r>
            <w:proofErr w:type="spellStart"/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subConfig</w:t>
            </w:r>
            <w:proofErr w:type="spellEnd"/>
            <w:r w:rsidR="00F61B4D"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 xml:space="preserve"> when muting is performed on e.g. smaller port numbers</w:t>
            </w:r>
          </w:p>
          <w:p w14:paraId="1D24E707" w14:textId="2768597B" w:rsidR="001F0738" w:rsidRPr="00241F52" w:rsidRDefault="001F0738" w:rsidP="00241F52">
            <w:pPr>
              <w:pStyle w:val="ListParagraph"/>
              <w:numPr>
                <w:ilvl w:val="1"/>
                <w:numId w:val="34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Huawei, ZTE, Samsung disagree this is a</w:t>
            </w:r>
            <w:r w:rsidR="00B34825"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 xml:space="preserve"> big</w:t>
            </w:r>
            <w:r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 xml:space="preserve"> issue</w:t>
            </w:r>
            <w:r w:rsidR="008A6D14"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 xml:space="preserve"> (can be handled in maintenance)</w:t>
            </w:r>
            <w:r w:rsidR="00E15954" w:rsidRPr="00241F52">
              <w:rPr>
                <w:rFonts w:eastAsiaTheme="minorEastAsia"/>
                <w:iCs/>
                <w:sz w:val="20"/>
                <w:szCs w:val="20"/>
                <w:lang w:val="en-CA" w:eastAsia="zh-CN"/>
              </w:rPr>
              <w:t>. For example, the current text would need proposal 1.C</w:t>
            </w:r>
          </w:p>
          <w:p w14:paraId="363C32FC" w14:textId="3E7CC391" w:rsidR="009D6C3D" w:rsidRDefault="009D6C3D" w:rsidP="00B214D1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</w:p>
          <w:p w14:paraId="5367593B" w14:textId="6DA75639" w:rsidR="00B214D1" w:rsidRPr="00B214D1" w:rsidRDefault="00B214D1" w:rsidP="00B214D1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</w:pPr>
            <w:r w:rsidRPr="00B214D1">
              <w:rPr>
                <w:rFonts w:eastAsiaTheme="minorEastAsia"/>
                <w:b/>
                <w:iCs/>
                <w:color w:val="3333FF"/>
                <w:sz w:val="20"/>
                <w:szCs w:val="20"/>
                <w:u w:val="single"/>
                <w:lang w:val="en-CA" w:eastAsia="zh-CN"/>
              </w:rPr>
              <w:t>FL assessment</w:t>
            </w:r>
            <w:r w:rsidRPr="00B214D1"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  <w:t>:</w:t>
            </w:r>
          </w:p>
          <w:p w14:paraId="47A3C17E" w14:textId="3FC2EB29" w:rsidR="00B214D1" w:rsidRPr="00B214D1" w:rsidRDefault="00B214D1" w:rsidP="00B214D1">
            <w:pPr>
              <w:pStyle w:val="ListParagraph"/>
              <w:numPr>
                <w:ilvl w:val="0"/>
                <w:numId w:val="34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</w:pPr>
            <w:r w:rsidRPr="00B214D1"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  <w:t>Both alternatives (proposal 1.A and current text captured in the CRs 211/214) work fine. Which one to be selected is a matter of preference</w:t>
            </w:r>
          </w:p>
          <w:p w14:paraId="06E5AD4F" w14:textId="2280AC22" w:rsidR="00B214D1" w:rsidRPr="00B214D1" w:rsidRDefault="00B214D1" w:rsidP="00B214D1">
            <w:pPr>
              <w:pStyle w:val="ListParagraph"/>
              <w:numPr>
                <w:ilvl w:val="0"/>
                <w:numId w:val="34"/>
              </w:numPr>
              <w:tabs>
                <w:tab w:val="left" w:pos="29"/>
                <w:tab w:val="left" w:pos="1440"/>
              </w:tabs>
              <w:snapToGrid w:val="0"/>
              <w:spacing w:after="0" w:line="240" w:lineRule="auto"/>
              <w:jc w:val="both"/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</w:pPr>
            <w:r w:rsidRPr="00B214D1">
              <w:rPr>
                <w:rFonts w:eastAsiaTheme="minorEastAsia"/>
                <w:iCs/>
                <w:color w:val="3333FF"/>
                <w:sz w:val="20"/>
                <w:szCs w:val="20"/>
                <w:lang w:val="en-CA" w:eastAsia="zh-CN"/>
              </w:rPr>
              <w:t>There might be additional maintenance works involved regardless of the chosen alternative. Which alternative requires more maintenance is unclear.</w:t>
            </w:r>
          </w:p>
          <w:p w14:paraId="5D718BA5" w14:textId="344AD78E" w:rsidR="00B214D1" w:rsidRPr="009179AF" w:rsidRDefault="00B214D1" w:rsidP="00186F4B">
            <w:pPr>
              <w:tabs>
                <w:tab w:val="left" w:pos="29"/>
                <w:tab w:val="left" w:pos="1440"/>
              </w:tabs>
              <w:snapToGrid w:val="0"/>
              <w:jc w:val="both"/>
              <w:rPr>
                <w:rFonts w:eastAsiaTheme="minorEastAsia"/>
                <w:iCs/>
                <w:sz w:val="20"/>
                <w:szCs w:val="20"/>
                <w:lang w:val="en-CA" w:eastAsia="zh-CN"/>
              </w:rPr>
            </w:pPr>
          </w:p>
        </w:tc>
      </w:tr>
    </w:tbl>
    <w:p w14:paraId="1ED61BFD" w14:textId="77777777" w:rsidR="00186F4B" w:rsidRPr="00186F4B" w:rsidRDefault="00186F4B" w:rsidP="0053203B">
      <w:pPr>
        <w:snapToGrid w:val="0"/>
        <w:rPr>
          <w:lang w:val="en-CA"/>
        </w:rPr>
      </w:pPr>
    </w:p>
    <w:p w14:paraId="7BEC25D4" w14:textId="6FDD3280" w:rsidR="00BC4CC1" w:rsidRDefault="00BC4CC1" w:rsidP="0053203B">
      <w:pPr>
        <w:snapToGrid w:val="0"/>
        <w:rPr>
          <w:lang w:val="en-GB"/>
        </w:rPr>
      </w:pPr>
    </w:p>
    <w:p w14:paraId="13E7441A" w14:textId="77777777" w:rsidR="00D0468A" w:rsidRPr="00766E59" w:rsidRDefault="00D0468A" w:rsidP="0053203B">
      <w:pPr>
        <w:snapToGrid w:val="0"/>
        <w:rPr>
          <w:lang w:val="en-GB"/>
        </w:rPr>
      </w:pPr>
    </w:p>
    <w:p w14:paraId="5D1E67C1" w14:textId="31AB8C67" w:rsidR="008C5E16" w:rsidRDefault="00241F8E" w:rsidP="00660FAB">
      <w:pPr>
        <w:pStyle w:val="Heading3"/>
        <w:numPr>
          <w:ilvl w:val="1"/>
          <w:numId w:val="11"/>
        </w:numPr>
      </w:pPr>
      <w:r>
        <w:t>Issue 2 (WID objective 2c): CRI-based CSI for hybrid beamforming (HBF)</w:t>
      </w:r>
    </w:p>
    <w:p w14:paraId="462761BC" w14:textId="77777777" w:rsidR="00D0468A" w:rsidRDefault="00D0468A" w:rsidP="0053203B">
      <w:pPr>
        <w:snapToGrid w:val="0"/>
      </w:pPr>
    </w:p>
    <w:p w14:paraId="55952E66" w14:textId="517665AC" w:rsidR="002570DB" w:rsidRPr="002570DB" w:rsidRDefault="00D0468A" w:rsidP="0053203B">
      <w:pPr>
        <w:snapToGrid w:val="0"/>
        <w:rPr>
          <w:sz w:val="20"/>
        </w:rPr>
      </w:pPr>
      <w:r>
        <w:t>--</w:t>
      </w:r>
    </w:p>
    <w:p w14:paraId="48487DD6" w14:textId="77777777" w:rsidR="002570DB" w:rsidRPr="002570DB" w:rsidRDefault="002570DB" w:rsidP="0053203B">
      <w:pPr>
        <w:snapToGrid w:val="0"/>
        <w:rPr>
          <w:sz w:val="20"/>
        </w:rPr>
      </w:pPr>
    </w:p>
    <w:p w14:paraId="4297EF4B" w14:textId="77777777" w:rsidR="001C19E9" w:rsidRDefault="00241F8E" w:rsidP="00660FAB">
      <w:pPr>
        <w:pStyle w:val="Heading3"/>
        <w:numPr>
          <w:ilvl w:val="1"/>
          <w:numId w:val="11"/>
        </w:numPr>
      </w:pPr>
      <w:r>
        <w:t>Issue 3 (WID objective 3): CJT calibration reporting for non-ideal synchronization and backhaul</w:t>
      </w:r>
    </w:p>
    <w:p w14:paraId="43B1ABC1" w14:textId="77777777" w:rsidR="0000149C" w:rsidRPr="00371E64" w:rsidRDefault="0000149C" w:rsidP="00D84F60">
      <w:pPr>
        <w:snapToGrid w:val="0"/>
        <w:rPr>
          <w:bCs/>
          <w:sz w:val="22"/>
          <w:lang w:val="en-GB"/>
        </w:rPr>
      </w:pPr>
    </w:p>
    <w:p w14:paraId="4FBD00BE" w14:textId="1BD57B81" w:rsidR="001612F2" w:rsidRPr="00D84F60" w:rsidRDefault="0021279D" w:rsidP="0053203B">
      <w:pPr>
        <w:snapToGrid w:val="0"/>
        <w:rPr>
          <w:lang w:val="en-GB"/>
        </w:rPr>
      </w:pPr>
      <w:r>
        <w:rPr>
          <w:lang w:val="en-GB"/>
        </w:rPr>
        <w:t>--</w:t>
      </w:r>
    </w:p>
    <w:p w14:paraId="5910E5C6" w14:textId="77777777" w:rsidR="00D84F60" w:rsidRDefault="00D84F60" w:rsidP="0053203B">
      <w:pPr>
        <w:snapToGrid w:val="0"/>
      </w:pPr>
    </w:p>
    <w:p w14:paraId="437484E7" w14:textId="77777777" w:rsidR="001C19E9" w:rsidRDefault="00241F8E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681B7A71" w14:textId="77777777" w:rsidR="001C19E9" w:rsidRDefault="001C19E9">
      <w:pPr>
        <w:snapToGrid w:val="0"/>
        <w:rPr>
          <w:sz w:val="22"/>
        </w:rPr>
      </w:pPr>
    </w:p>
    <w:p w14:paraId="50C6F314" w14:textId="77777777" w:rsidR="001C19E9" w:rsidRDefault="001C19E9">
      <w:pPr>
        <w:snapToGrid w:val="0"/>
        <w:rPr>
          <w:sz w:val="22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9CC38" w14:textId="77777777" w:rsidR="006516B5" w:rsidRDefault="006516B5" w:rsidP="001E51B2">
      <w:r>
        <w:separator/>
      </w:r>
    </w:p>
  </w:endnote>
  <w:endnote w:type="continuationSeparator" w:id="0">
    <w:p w14:paraId="220FDC58" w14:textId="77777777" w:rsidR="006516B5" w:rsidRDefault="006516B5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0EB26" w14:textId="77777777" w:rsidR="006516B5" w:rsidRDefault="006516B5" w:rsidP="001E51B2">
      <w:r>
        <w:separator/>
      </w:r>
    </w:p>
  </w:footnote>
  <w:footnote w:type="continuationSeparator" w:id="0">
    <w:p w14:paraId="2BF32A11" w14:textId="77777777" w:rsidR="006516B5" w:rsidRDefault="006516B5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71ED"/>
    <w:multiLevelType w:val="hybridMultilevel"/>
    <w:tmpl w:val="E082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3806"/>
    <w:multiLevelType w:val="hybridMultilevel"/>
    <w:tmpl w:val="17D00CD8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5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E5ADD"/>
    <w:multiLevelType w:val="hybridMultilevel"/>
    <w:tmpl w:val="3F10C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439EB"/>
    <w:multiLevelType w:val="hybridMultilevel"/>
    <w:tmpl w:val="062E556E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35BF"/>
    <w:multiLevelType w:val="multilevel"/>
    <w:tmpl w:val="310E35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361992"/>
    <w:multiLevelType w:val="multilevel"/>
    <w:tmpl w:val="31361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34CA3"/>
    <w:multiLevelType w:val="hybridMultilevel"/>
    <w:tmpl w:val="B212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E633B"/>
    <w:multiLevelType w:val="hybridMultilevel"/>
    <w:tmpl w:val="1A5A3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4B3329"/>
    <w:multiLevelType w:val="hybridMultilevel"/>
    <w:tmpl w:val="D41A6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923712"/>
    <w:multiLevelType w:val="multilevel"/>
    <w:tmpl w:val="49923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752AD"/>
    <w:multiLevelType w:val="hybridMultilevel"/>
    <w:tmpl w:val="EA38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7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8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0" w15:restartNumberingAfterBreak="0">
    <w:nsid w:val="6F597E71"/>
    <w:multiLevelType w:val="hybridMultilevel"/>
    <w:tmpl w:val="19BA70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3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8"/>
  </w:num>
  <w:num w:numId="4">
    <w:abstractNumId w:val="26"/>
  </w:num>
  <w:num w:numId="5">
    <w:abstractNumId w:val="32"/>
  </w:num>
  <w:num w:numId="6">
    <w:abstractNumId w:val="16"/>
  </w:num>
  <w:num w:numId="7">
    <w:abstractNumId w:val="19"/>
  </w:num>
  <w:num w:numId="8">
    <w:abstractNumId w:val="23"/>
  </w:num>
  <w:num w:numId="9">
    <w:abstractNumId w:val="25"/>
  </w:num>
  <w:num w:numId="10">
    <w:abstractNumId w:val="31"/>
  </w:num>
  <w:num w:numId="11">
    <w:abstractNumId w:val="29"/>
  </w:num>
  <w:num w:numId="12">
    <w:abstractNumId w:val="9"/>
  </w:num>
  <w:num w:numId="13">
    <w:abstractNumId w:val="10"/>
  </w:num>
  <w:num w:numId="14">
    <w:abstractNumId w:val="8"/>
  </w:num>
  <w:num w:numId="15">
    <w:abstractNumId w:val="2"/>
  </w:num>
  <w:num w:numId="16">
    <w:abstractNumId w:val="22"/>
  </w:num>
  <w:num w:numId="17">
    <w:abstractNumId w:val="11"/>
  </w:num>
  <w:num w:numId="18">
    <w:abstractNumId w:val="3"/>
  </w:num>
  <w:num w:numId="19">
    <w:abstractNumId w:val="21"/>
  </w:num>
  <w:num w:numId="20">
    <w:abstractNumId w:val="1"/>
  </w:num>
  <w:num w:numId="21">
    <w:abstractNumId w:val="24"/>
  </w:num>
  <w:num w:numId="22">
    <w:abstractNumId w:val="28"/>
  </w:num>
  <w:num w:numId="23">
    <w:abstractNumId w:val="5"/>
  </w:num>
  <w:num w:numId="24">
    <w:abstractNumId w:val="13"/>
  </w:num>
  <w:num w:numId="25">
    <w:abstractNumId w:val="20"/>
  </w:num>
  <w:num w:numId="26">
    <w:abstractNumId w:val="12"/>
  </w:num>
  <w:num w:numId="27">
    <w:abstractNumId w:val="6"/>
  </w:num>
  <w:num w:numId="28">
    <w:abstractNumId w:val="33"/>
  </w:num>
  <w:num w:numId="29">
    <w:abstractNumId w:val="14"/>
  </w:num>
  <w:num w:numId="30">
    <w:abstractNumId w:val="30"/>
  </w:num>
  <w:num w:numId="31">
    <w:abstractNumId w:val="15"/>
  </w:num>
  <w:num w:numId="32">
    <w:abstractNumId w:val="17"/>
  </w:num>
  <w:num w:numId="33">
    <w:abstractNumId w:val="7"/>
  </w:num>
  <w:num w:numId="3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49C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443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2EE0"/>
    <w:rsid w:val="00013335"/>
    <w:rsid w:val="00014581"/>
    <w:rsid w:val="000147C8"/>
    <w:rsid w:val="00014CC9"/>
    <w:rsid w:val="00014D0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3F5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4EF2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00A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585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BA0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697F"/>
    <w:rsid w:val="00147171"/>
    <w:rsid w:val="0014731F"/>
    <w:rsid w:val="00147629"/>
    <w:rsid w:val="00147BB4"/>
    <w:rsid w:val="00147DAF"/>
    <w:rsid w:val="00147DC8"/>
    <w:rsid w:val="00150735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2F2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3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5BD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C93"/>
    <w:rsid w:val="00181DC9"/>
    <w:rsid w:val="00181FF6"/>
    <w:rsid w:val="00182237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D07"/>
    <w:rsid w:val="00183E1F"/>
    <w:rsid w:val="0018417D"/>
    <w:rsid w:val="001845A0"/>
    <w:rsid w:val="00184D87"/>
    <w:rsid w:val="0018554D"/>
    <w:rsid w:val="0018572E"/>
    <w:rsid w:val="0018659B"/>
    <w:rsid w:val="00186F01"/>
    <w:rsid w:val="00186F4B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17F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7DB"/>
    <w:rsid w:val="001E0EBF"/>
    <w:rsid w:val="001E0F98"/>
    <w:rsid w:val="001E117F"/>
    <w:rsid w:val="001E1403"/>
    <w:rsid w:val="001E249A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9A8"/>
    <w:rsid w:val="001E7DC8"/>
    <w:rsid w:val="001F043A"/>
    <w:rsid w:val="001F0532"/>
    <w:rsid w:val="001F0738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BDE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901"/>
    <w:rsid w:val="00202DEF"/>
    <w:rsid w:val="00203765"/>
    <w:rsid w:val="002037B2"/>
    <w:rsid w:val="00204226"/>
    <w:rsid w:val="002043D8"/>
    <w:rsid w:val="00204BAC"/>
    <w:rsid w:val="00204FA1"/>
    <w:rsid w:val="00205523"/>
    <w:rsid w:val="00206146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79D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9BD"/>
    <w:rsid w:val="00230E49"/>
    <w:rsid w:val="0023121E"/>
    <w:rsid w:val="0023127C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52"/>
    <w:rsid w:val="00241F65"/>
    <w:rsid w:val="00241F8E"/>
    <w:rsid w:val="00241FB3"/>
    <w:rsid w:val="00243176"/>
    <w:rsid w:val="0024352A"/>
    <w:rsid w:val="00243B9D"/>
    <w:rsid w:val="002441B3"/>
    <w:rsid w:val="0024430A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0DB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CD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5C32"/>
    <w:rsid w:val="00286C64"/>
    <w:rsid w:val="00287699"/>
    <w:rsid w:val="002876E2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133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0E69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38A"/>
    <w:rsid w:val="002D0401"/>
    <w:rsid w:val="002D106A"/>
    <w:rsid w:val="002D10E8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3E49"/>
    <w:rsid w:val="002D4044"/>
    <w:rsid w:val="002D44CD"/>
    <w:rsid w:val="002D481E"/>
    <w:rsid w:val="002D4E3A"/>
    <w:rsid w:val="002D4F73"/>
    <w:rsid w:val="002D51FF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DF4"/>
    <w:rsid w:val="002E10D9"/>
    <w:rsid w:val="002E17FD"/>
    <w:rsid w:val="002E1ABB"/>
    <w:rsid w:val="002E1DEE"/>
    <w:rsid w:val="002E215A"/>
    <w:rsid w:val="002E2745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A6A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6BC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5FE5"/>
    <w:rsid w:val="00336ED3"/>
    <w:rsid w:val="00337119"/>
    <w:rsid w:val="00340015"/>
    <w:rsid w:val="00340287"/>
    <w:rsid w:val="00340B84"/>
    <w:rsid w:val="00340C26"/>
    <w:rsid w:val="00340CF9"/>
    <w:rsid w:val="00340F9C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644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077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1E64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2CA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04F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2AC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3923"/>
    <w:rsid w:val="003F427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2C8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8D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378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32A"/>
    <w:rsid w:val="00464702"/>
    <w:rsid w:val="00464C20"/>
    <w:rsid w:val="00464F54"/>
    <w:rsid w:val="00464FDA"/>
    <w:rsid w:val="0046512B"/>
    <w:rsid w:val="00465730"/>
    <w:rsid w:val="00465DED"/>
    <w:rsid w:val="004661CB"/>
    <w:rsid w:val="004663F5"/>
    <w:rsid w:val="004664DB"/>
    <w:rsid w:val="00466615"/>
    <w:rsid w:val="004666A5"/>
    <w:rsid w:val="004670E5"/>
    <w:rsid w:val="004702D9"/>
    <w:rsid w:val="0047032F"/>
    <w:rsid w:val="00470464"/>
    <w:rsid w:val="00470855"/>
    <w:rsid w:val="00470D72"/>
    <w:rsid w:val="004718E7"/>
    <w:rsid w:val="004724E4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1C4"/>
    <w:rsid w:val="004B27D7"/>
    <w:rsid w:val="004B3304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27568"/>
    <w:rsid w:val="00530230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48"/>
    <w:rsid w:val="005360DF"/>
    <w:rsid w:val="0053630E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665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46F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47E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A7D2C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4E4B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48AC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B1D"/>
    <w:rsid w:val="00647EF2"/>
    <w:rsid w:val="00650277"/>
    <w:rsid w:val="00650307"/>
    <w:rsid w:val="006516B5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0CF3"/>
    <w:rsid w:val="00660FAB"/>
    <w:rsid w:val="00661332"/>
    <w:rsid w:val="00661DA5"/>
    <w:rsid w:val="00662035"/>
    <w:rsid w:val="00662151"/>
    <w:rsid w:val="00662239"/>
    <w:rsid w:val="0066228F"/>
    <w:rsid w:val="00662BBC"/>
    <w:rsid w:val="00662D77"/>
    <w:rsid w:val="0066338B"/>
    <w:rsid w:val="00663693"/>
    <w:rsid w:val="00663942"/>
    <w:rsid w:val="00663985"/>
    <w:rsid w:val="006643D2"/>
    <w:rsid w:val="006646EB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90A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5D48"/>
    <w:rsid w:val="006C6410"/>
    <w:rsid w:val="006C6411"/>
    <w:rsid w:val="006C660D"/>
    <w:rsid w:val="006C67E4"/>
    <w:rsid w:val="006C6A16"/>
    <w:rsid w:val="006C767E"/>
    <w:rsid w:val="006C7703"/>
    <w:rsid w:val="006C7C40"/>
    <w:rsid w:val="006C7E91"/>
    <w:rsid w:val="006D06F9"/>
    <w:rsid w:val="006D0E38"/>
    <w:rsid w:val="006D13C9"/>
    <w:rsid w:val="006D1BFD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3F4A"/>
    <w:rsid w:val="006E463F"/>
    <w:rsid w:val="006E4D8E"/>
    <w:rsid w:val="006E52E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C49"/>
    <w:rsid w:val="00711F7F"/>
    <w:rsid w:val="0071219D"/>
    <w:rsid w:val="007124F2"/>
    <w:rsid w:val="0071285D"/>
    <w:rsid w:val="0071469B"/>
    <w:rsid w:val="007147D7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9AE"/>
    <w:rsid w:val="00723ED9"/>
    <w:rsid w:val="0072485D"/>
    <w:rsid w:val="00724A04"/>
    <w:rsid w:val="00724A8A"/>
    <w:rsid w:val="007257A6"/>
    <w:rsid w:val="007264C3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4CA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6E59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9BE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62E"/>
    <w:rsid w:val="007917A2"/>
    <w:rsid w:val="007917C3"/>
    <w:rsid w:val="007920FA"/>
    <w:rsid w:val="00792BF0"/>
    <w:rsid w:val="00793019"/>
    <w:rsid w:val="0079345E"/>
    <w:rsid w:val="0079352B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480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B31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15D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0D1A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2B13"/>
    <w:rsid w:val="00863438"/>
    <w:rsid w:val="008634DD"/>
    <w:rsid w:val="008634E3"/>
    <w:rsid w:val="00863778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6E"/>
    <w:rsid w:val="00873B97"/>
    <w:rsid w:val="00873F84"/>
    <w:rsid w:val="00874F28"/>
    <w:rsid w:val="00875A42"/>
    <w:rsid w:val="00875E84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3D9E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A3F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D14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5E16"/>
    <w:rsid w:val="008C68FC"/>
    <w:rsid w:val="008C6924"/>
    <w:rsid w:val="008C6B38"/>
    <w:rsid w:val="008C7177"/>
    <w:rsid w:val="008C732B"/>
    <w:rsid w:val="008C7822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5EE2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773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58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38B3"/>
    <w:rsid w:val="00914AEB"/>
    <w:rsid w:val="00914B01"/>
    <w:rsid w:val="00914D91"/>
    <w:rsid w:val="00914E95"/>
    <w:rsid w:val="00914F0A"/>
    <w:rsid w:val="00915286"/>
    <w:rsid w:val="009156F3"/>
    <w:rsid w:val="0091579B"/>
    <w:rsid w:val="00915BC3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4AC7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4DE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6A0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365"/>
    <w:rsid w:val="009A3D25"/>
    <w:rsid w:val="009A3FB3"/>
    <w:rsid w:val="009A4C67"/>
    <w:rsid w:val="009A4D6B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00F5"/>
    <w:rsid w:val="009B0363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2F3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C7F59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66C"/>
    <w:rsid w:val="009D6C34"/>
    <w:rsid w:val="009D6C3D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54C7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26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079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2F5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44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5E8"/>
    <w:rsid w:val="00A53785"/>
    <w:rsid w:val="00A53B06"/>
    <w:rsid w:val="00A53B84"/>
    <w:rsid w:val="00A545CB"/>
    <w:rsid w:val="00A548DC"/>
    <w:rsid w:val="00A5539A"/>
    <w:rsid w:val="00A5573D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3FC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B95"/>
    <w:rsid w:val="00A87C29"/>
    <w:rsid w:val="00A87EC1"/>
    <w:rsid w:val="00A87F47"/>
    <w:rsid w:val="00A905B3"/>
    <w:rsid w:val="00A90684"/>
    <w:rsid w:val="00A90839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4276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3E8B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1C0"/>
    <w:rsid w:val="00B17447"/>
    <w:rsid w:val="00B2011A"/>
    <w:rsid w:val="00B2092A"/>
    <w:rsid w:val="00B20992"/>
    <w:rsid w:val="00B20A74"/>
    <w:rsid w:val="00B20F1D"/>
    <w:rsid w:val="00B21046"/>
    <w:rsid w:val="00B21196"/>
    <w:rsid w:val="00B214D1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6CE1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4825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5A8D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81"/>
    <w:rsid w:val="00B517A3"/>
    <w:rsid w:val="00B51B07"/>
    <w:rsid w:val="00B51DA2"/>
    <w:rsid w:val="00B52864"/>
    <w:rsid w:val="00B52A2D"/>
    <w:rsid w:val="00B53136"/>
    <w:rsid w:val="00B532AD"/>
    <w:rsid w:val="00B535C8"/>
    <w:rsid w:val="00B53839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BD5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4C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4F"/>
    <w:rsid w:val="00BD2BD1"/>
    <w:rsid w:val="00BD3C3A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992"/>
    <w:rsid w:val="00BD7C50"/>
    <w:rsid w:val="00BD7C79"/>
    <w:rsid w:val="00BD7CD7"/>
    <w:rsid w:val="00BE019B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03E"/>
    <w:rsid w:val="00BF1150"/>
    <w:rsid w:val="00BF133D"/>
    <w:rsid w:val="00BF13D4"/>
    <w:rsid w:val="00BF157D"/>
    <w:rsid w:val="00BF16BE"/>
    <w:rsid w:val="00BF21C6"/>
    <w:rsid w:val="00BF2357"/>
    <w:rsid w:val="00BF29BD"/>
    <w:rsid w:val="00BF2AEA"/>
    <w:rsid w:val="00BF30B6"/>
    <w:rsid w:val="00BF3E6C"/>
    <w:rsid w:val="00BF402C"/>
    <w:rsid w:val="00BF43FB"/>
    <w:rsid w:val="00BF5597"/>
    <w:rsid w:val="00BF5640"/>
    <w:rsid w:val="00BF5AEF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31D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022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F0B"/>
    <w:rsid w:val="00C4019A"/>
    <w:rsid w:val="00C40237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04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1AC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2F3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5FA0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98B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0B8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471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4EAA"/>
    <w:rsid w:val="00CB5070"/>
    <w:rsid w:val="00CB53C5"/>
    <w:rsid w:val="00CB587B"/>
    <w:rsid w:val="00CB5A18"/>
    <w:rsid w:val="00CB5ED3"/>
    <w:rsid w:val="00CB6293"/>
    <w:rsid w:val="00CB6F80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9B6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AC8"/>
    <w:rsid w:val="00CF1EF7"/>
    <w:rsid w:val="00CF21A6"/>
    <w:rsid w:val="00CF221D"/>
    <w:rsid w:val="00CF249C"/>
    <w:rsid w:val="00CF2C91"/>
    <w:rsid w:val="00CF34AB"/>
    <w:rsid w:val="00CF3598"/>
    <w:rsid w:val="00CF38B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0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68A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07EB9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4ED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747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19"/>
    <w:rsid w:val="00D63394"/>
    <w:rsid w:val="00D6372C"/>
    <w:rsid w:val="00D63CDC"/>
    <w:rsid w:val="00D64811"/>
    <w:rsid w:val="00D649B7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689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83E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866"/>
    <w:rsid w:val="00DA69A2"/>
    <w:rsid w:val="00DA6B31"/>
    <w:rsid w:val="00DA7476"/>
    <w:rsid w:val="00DA7B83"/>
    <w:rsid w:val="00DB029E"/>
    <w:rsid w:val="00DB0485"/>
    <w:rsid w:val="00DB051B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41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E7D1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954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658"/>
    <w:rsid w:val="00E46716"/>
    <w:rsid w:val="00E46BE6"/>
    <w:rsid w:val="00E46F33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25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216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19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1B4D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622"/>
    <w:rsid w:val="00F93E63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4C3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0F6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1DB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26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65A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uiPriority w:val="39"/>
    <w:qFormat/>
    <w:rsid w:val="00910058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style2">
    <w:name w:val="style2"/>
    <w:basedOn w:val="Normal"/>
    <w:uiPriority w:val="99"/>
    <w:qFormat/>
    <w:rsid w:val="00910058"/>
    <w:pPr>
      <w:spacing w:after="120" w:line="252" w:lineRule="auto"/>
      <w:ind w:left="630" w:hanging="360"/>
      <w:jc w:val="both"/>
    </w:pPr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275C30-06D8-4032-B6AE-449946D2C3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 Onggosanusi</dc:creator>
  <cp:keywords>CTPClassification=CTP_NT CTPClassification=CTP_NT</cp:keywords>
  <cp:lastModifiedBy>Eko Onggosanusi</cp:lastModifiedBy>
  <cp:revision>13</cp:revision>
  <cp:lastPrinted>2021-10-06T09:28:00Z</cp:lastPrinted>
  <dcterms:created xsi:type="dcterms:W3CDTF">2025-05-19T20:11:00Z</dcterms:created>
  <dcterms:modified xsi:type="dcterms:W3CDTF">2025-05-21T13:43:00Z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  <property fmtid="{D5CDD505-2E9C-101B-9397-08002B2CF9AE}" pid="44" name="_DocHome">
    <vt:i4>-2057946841</vt:i4>
  </property>
</Properties>
</file>